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FC9" w:rsidRDefault="004C2FC9" w:rsidP="004C2FC9">
      <w:pPr>
        <w:pStyle w:val="2"/>
      </w:pPr>
      <w:r w:rsidRPr="00823800">
        <w:rPr>
          <w:rFonts w:ascii="Times New Roman" w:hAnsi="Times New Roman" w:cs="Times New Roman"/>
        </w:rPr>
        <w:t>专练</w:t>
      </w:r>
      <w:r w:rsidRPr="00823800">
        <w:rPr>
          <w:rFonts w:ascii="Times New Roman" w:hAnsi="Times New Roman" w:cs="Times New Roman"/>
        </w:rPr>
        <w:t>13</w:t>
      </w:r>
      <w:r>
        <w:rPr>
          <w:rFonts w:ascii="Times New Roman" w:hAnsi="Times New Roman" w:cs="Times New Roman"/>
        </w:rPr>
        <w:t xml:space="preserve">　</w:t>
      </w:r>
      <w:r w:rsidRPr="00823800">
        <w:rPr>
          <w:rFonts w:ascii="Times New Roman" w:hAnsi="Times New Roman" w:cs="Times New Roman"/>
        </w:rPr>
        <w:t>主动运输与胞吞、胞吐</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湖北荆门高一上期中</w:t>
      </w:r>
      <w:r>
        <w:rPr>
          <w:rFonts w:ascii="Times New Roman" w:eastAsia="楷体_GB2312" w:hAnsi="Times New Roman" w:cs="Times New Roman"/>
        </w:rPr>
        <w:t>]</w:t>
      </w:r>
      <w:r w:rsidRPr="00823800">
        <w:rPr>
          <w:rFonts w:ascii="Times New Roman" w:hAnsi="Times New Roman" w:cs="Times New Roman"/>
        </w:rPr>
        <w:t>甲状腺滤泡上皮细胞中的碘浓度比血浆中高</w:t>
      </w:r>
      <w:r w:rsidRPr="00823800">
        <w:rPr>
          <w:rFonts w:ascii="Times New Roman" w:hAnsi="Times New Roman" w:cs="Times New Roman"/>
        </w:rPr>
        <w:t>20</w:t>
      </w:r>
      <w:r w:rsidRPr="00823800">
        <w:rPr>
          <w:rFonts w:ascii="Times New Roman" w:hAnsi="Times New Roman" w:cs="Times New Roman"/>
        </w:rPr>
        <w:t>～</w:t>
      </w:r>
      <w:r w:rsidRPr="00823800">
        <w:rPr>
          <w:rFonts w:ascii="Times New Roman" w:hAnsi="Times New Roman" w:cs="Times New Roman"/>
        </w:rPr>
        <w:t>25</w:t>
      </w:r>
      <w:r w:rsidRPr="00823800">
        <w:rPr>
          <w:rFonts w:ascii="Times New Roman" w:hAnsi="Times New Roman" w:cs="Times New Roman"/>
        </w:rPr>
        <w:t>倍</w:t>
      </w:r>
      <w:r>
        <w:rPr>
          <w:rFonts w:ascii="Times New Roman" w:hAnsi="Times New Roman" w:cs="Times New Roman"/>
        </w:rPr>
        <w:t>，</w:t>
      </w:r>
      <w:r w:rsidRPr="00823800">
        <w:rPr>
          <w:rFonts w:ascii="Times New Roman" w:hAnsi="Times New Roman" w:cs="Times New Roman"/>
        </w:rPr>
        <w:t>维持细胞内外碘浓度差主要依赖于细胞膜上的</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载体蛋白</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磷脂</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糖蛋白</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糖类</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河北邢台调研</w:t>
      </w:r>
      <w:r>
        <w:rPr>
          <w:rFonts w:ascii="Times New Roman" w:eastAsia="楷体_GB2312" w:hAnsi="Times New Roman" w:cs="Times New Roman"/>
        </w:rPr>
        <w:t>]</w:t>
      </w:r>
      <w:r w:rsidRPr="00823800">
        <w:rPr>
          <w:rFonts w:ascii="Times New Roman" w:hAnsi="Times New Roman" w:cs="Times New Roman"/>
        </w:rPr>
        <w:t>人进食后</w:t>
      </w:r>
      <w:r>
        <w:rPr>
          <w:rFonts w:ascii="Times New Roman" w:hAnsi="Times New Roman" w:cs="Times New Roman"/>
        </w:rPr>
        <w:t>，</w:t>
      </w:r>
      <w:r w:rsidRPr="00823800">
        <w:rPr>
          <w:rFonts w:ascii="Times New Roman" w:hAnsi="Times New Roman" w:cs="Times New Roman"/>
        </w:rPr>
        <w:t>胃壁细胞的细胞质中含有</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泵的囊泡会转移到细胞膜上。胃壁细</w:t>
      </w:r>
      <w:r w:rsidRPr="00823800">
        <w:rPr>
          <w:rFonts w:ascii="Times New Roman" w:hAnsi="Times New Roman" w:cs="Times New Roman" w:hint="eastAsia"/>
        </w:rPr>
        <w:t>胞通过</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泵逆浓度梯度向胃液中分泌</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同时吸收</w:t>
      </w:r>
      <w:r w:rsidRPr="00823800">
        <w:rPr>
          <w:rFonts w:ascii="Times New Roman" w:hAnsi="Times New Roman" w:cs="Times New Roman"/>
        </w:rPr>
        <w:t>K</w:t>
      </w:r>
      <w:r w:rsidRPr="00823800">
        <w:rPr>
          <w:rFonts w:ascii="Times New Roman" w:hAnsi="Times New Roman" w:cs="Times New Roman"/>
          <w:vertAlign w:val="superscript"/>
        </w:rPr>
        <w:t>＋</w:t>
      </w:r>
      <w:r>
        <w:rPr>
          <w:rFonts w:ascii="Times New Roman" w:hAnsi="Times New Roman" w:cs="Times New Roman"/>
        </w:rPr>
        <w:t>，</w:t>
      </w:r>
      <w:r w:rsidRPr="00823800">
        <w:rPr>
          <w:rFonts w:ascii="Times New Roman" w:hAnsi="Times New Roman" w:cs="Times New Roman"/>
        </w:rPr>
        <w:t>如下图所示。下列分析不正确的是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06500" cy="755650"/>
            <wp:effectExtent l="0" t="0" r="0" b="6350"/>
            <wp:docPr id="5" name="图片 5" descr="22新微生物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6500" cy="755650"/>
                    </a:xfrm>
                    <a:prstGeom prst="rect">
                      <a:avLst/>
                    </a:prstGeom>
                    <a:noFill/>
                    <a:ln>
                      <a:noFill/>
                    </a:ln>
                  </pic:spPr>
                </pic:pic>
              </a:graphicData>
            </a:graphic>
          </wp:inline>
        </w:drawing>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泵属于载体蛋白</w:t>
      </w:r>
      <w:r>
        <w:rPr>
          <w:rFonts w:ascii="Times New Roman" w:hAnsi="Times New Roman" w:cs="Times New Roman"/>
        </w:rPr>
        <w:t>，</w:t>
      </w:r>
      <w:r w:rsidRPr="00823800">
        <w:rPr>
          <w:rFonts w:ascii="Times New Roman" w:hAnsi="Times New Roman" w:cs="Times New Roman"/>
        </w:rPr>
        <w:t>其形成与内质网、高尔基体密切相关</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泵专一性转运两种离子与其结构的特异性有关</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胃壁细胞分泌</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使胃液的酸性增强</w:t>
      </w:r>
      <w:r>
        <w:rPr>
          <w:rFonts w:ascii="Times New Roman" w:hAnsi="Times New Roman" w:cs="Times New Roman"/>
        </w:rPr>
        <w:t>，</w:t>
      </w:r>
      <w:r w:rsidRPr="00823800">
        <w:rPr>
          <w:rFonts w:ascii="Times New Roman" w:hAnsi="Times New Roman" w:cs="Times New Roman"/>
        </w:rPr>
        <w:t>分泌过程不消耗能量</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胃壁细胞的细胞质中的</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不能通过自由扩散的方式运输到胃液中</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下图为植物细胞质膜中</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ATP</w:t>
      </w:r>
      <w:r w:rsidRPr="00823800">
        <w:rPr>
          <w:rFonts w:ascii="Times New Roman" w:hAnsi="Times New Roman" w:cs="Times New Roman"/>
        </w:rPr>
        <w:t>酶将细胞质中的</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转运到膜外的示意图。下列叙述正确的是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41450" cy="1111250"/>
            <wp:effectExtent l="0" t="0" r="6350" b="0"/>
            <wp:docPr id="4" name="图片 4" descr="21浙江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浙江卷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1450" cy="1111250"/>
                    </a:xfrm>
                    <a:prstGeom prst="rect">
                      <a:avLst/>
                    </a:prstGeom>
                    <a:noFill/>
                    <a:ln>
                      <a:noFill/>
                    </a:ln>
                  </pic:spPr>
                </pic:pic>
              </a:graphicData>
            </a:graphic>
          </wp:inline>
        </w:drawing>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转运过程中</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ATP</w:t>
      </w:r>
      <w:r w:rsidRPr="00823800">
        <w:rPr>
          <w:rFonts w:ascii="Times New Roman" w:hAnsi="Times New Roman" w:cs="Times New Roman"/>
        </w:rPr>
        <w:t>酶不发生形变</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该转运可使膜两侧</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维持一定的浓度差</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抑制细胞呼吸不影响</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的转运速率</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线粒体内膜上的电子传递链也会发生图示过程</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离子泵是一种具有</w:t>
      </w:r>
      <w:r w:rsidRPr="00823800">
        <w:rPr>
          <w:rFonts w:ascii="Times New Roman" w:hAnsi="Times New Roman" w:cs="Times New Roman"/>
        </w:rPr>
        <w:t>ATP</w:t>
      </w:r>
      <w:r w:rsidRPr="00823800">
        <w:rPr>
          <w:rFonts w:ascii="Times New Roman" w:hAnsi="Times New Roman" w:cs="Times New Roman"/>
        </w:rPr>
        <w:t>水解酶活性的载体蛋白</w:t>
      </w:r>
      <w:r>
        <w:rPr>
          <w:rFonts w:ascii="Times New Roman" w:hAnsi="Times New Roman" w:cs="Times New Roman"/>
        </w:rPr>
        <w:t>，</w:t>
      </w:r>
      <w:r w:rsidRPr="00823800">
        <w:rPr>
          <w:rFonts w:ascii="Times New Roman" w:hAnsi="Times New Roman" w:cs="Times New Roman"/>
        </w:rPr>
        <w:t>能利用水解</w:t>
      </w:r>
      <w:r w:rsidRPr="00823800">
        <w:rPr>
          <w:rFonts w:ascii="Times New Roman" w:hAnsi="Times New Roman" w:cs="Times New Roman"/>
        </w:rPr>
        <w:t>ATP</w:t>
      </w:r>
      <w:r w:rsidRPr="00823800">
        <w:rPr>
          <w:rFonts w:ascii="Times New Roman" w:hAnsi="Times New Roman" w:cs="Times New Roman"/>
        </w:rPr>
        <w:t>释放的能量跨膜运输离子。下列叙述正确的是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hint="eastAsia"/>
        </w:rPr>
        <w:t>．</w:t>
      </w:r>
      <w:r w:rsidRPr="00823800">
        <w:rPr>
          <w:rFonts w:ascii="Times New Roman" w:hAnsi="Times New Roman" w:cs="Times New Roman"/>
        </w:rPr>
        <w:t>离子通过离子泵的跨膜运输属于协助扩散</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离子通过离子泵的跨膜运输是顺着浓度梯度进行的</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动物一氧化碳中毒会降低离子泵跨膜运输离子的速率</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加入蛋白质变性剂会提高离子泵跨膜运输离子的速率</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下图表示两种不同的运输方式</w:t>
      </w:r>
      <w:r>
        <w:rPr>
          <w:rFonts w:ascii="Times New Roman" w:hAnsi="Times New Roman" w:cs="Times New Roman"/>
        </w:rPr>
        <w:t>，</w:t>
      </w:r>
      <w:r w:rsidRPr="00823800">
        <w:rPr>
          <w:rFonts w:ascii="Times New Roman" w:hAnsi="Times New Roman" w:cs="Times New Roman"/>
        </w:rPr>
        <w:t>关于这两种运输方式的叙述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863850" cy="1206500"/>
            <wp:effectExtent l="0" t="0" r="0" b="0"/>
            <wp:docPr id="3" name="图片 3" descr="22新微生物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新微生物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3850" cy="1206500"/>
                    </a:xfrm>
                    <a:prstGeom prst="rect">
                      <a:avLst/>
                    </a:prstGeom>
                    <a:noFill/>
                    <a:ln>
                      <a:noFill/>
                    </a:ln>
                  </pic:spPr>
                </pic:pic>
              </a:graphicData>
            </a:graphic>
          </wp:inline>
        </w:drawing>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图甲和图乙表示的运输方式都需要载体蛋白的协助</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限制图甲表示的运输方式的因素是载体数量和能量</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氧气浓度能影响图乙表示的运输方式而不影响图甲表示的运输方</w:t>
      </w:r>
      <w:r w:rsidRPr="00823800">
        <w:rPr>
          <w:rFonts w:ascii="Times New Roman" w:hAnsi="Times New Roman" w:cs="Times New Roman" w:hint="eastAsia"/>
        </w:rPr>
        <w:t>式</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图甲表示的运输方式属于被动运输</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将某活组织放入适宜的完全培养液中</w:t>
      </w:r>
      <w:r>
        <w:rPr>
          <w:rFonts w:ascii="Times New Roman" w:hAnsi="Times New Roman" w:cs="Times New Roman"/>
        </w:rPr>
        <w:t>，</w:t>
      </w:r>
      <w:r w:rsidRPr="00823800">
        <w:rPr>
          <w:rFonts w:ascii="Times New Roman" w:hAnsi="Times New Roman" w:cs="Times New Roman"/>
        </w:rPr>
        <w:t>并置于适宜的条件下培养。培养液中甲、乙两种离子的浓度保持相等且恒定</w:t>
      </w:r>
      <w:r>
        <w:rPr>
          <w:rFonts w:ascii="Times New Roman" w:hAnsi="Times New Roman" w:cs="Times New Roman"/>
        </w:rPr>
        <w:t>，</w:t>
      </w:r>
      <w:r w:rsidRPr="00823800">
        <w:rPr>
          <w:rFonts w:ascii="Times New Roman" w:hAnsi="Times New Roman" w:cs="Times New Roman"/>
        </w:rPr>
        <w:t>定期检查细胞中两种离子的浓度</w:t>
      </w:r>
      <w:r>
        <w:rPr>
          <w:rFonts w:ascii="Times New Roman" w:hAnsi="Times New Roman" w:cs="Times New Roman"/>
        </w:rPr>
        <w:t>，</w:t>
      </w:r>
      <w:r w:rsidRPr="00823800">
        <w:rPr>
          <w:rFonts w:ascii="Times New Roman" w:hAnsi="Times New Roman" w:cs="Times New Roman"/>
        </w:rPr>
        <w:t>得到如图所示曲线。据图分析</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38300" cy="863600"/>
            <wp:effectExtent l="0" t="0" r="0" b="0"/>
            <wp:docPr id="2" name="图片 2" descr="22新微生物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2新微生物1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863600"/>
                    </a:xfrm>
                    <a:prstGeom prst="rect">
                      <a:avLst/>
                    </a:prstGeom>
                    <a:noFill/>
                    <a:ln>
                      <a:noFill/>
                    </a:ln>
                  </pic:spPr>
                </pic:pic>
              </a:graphicData>
            </a:graphic>
          </wp:inline>
        </w:drawing>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该组织细胞吸收甲、乙两种离子的方式分别是自由扩散和主动运输</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该组织细胞运输甲离子的载体蛋白数量比运输乙离子的载体蛋白数量多</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两种离子均只能从低浓度的一侧运输到高浓度的一侧</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曲线</w:t>
      </w:r>
      <w:r w:rsidRPr="00823800">
        <w:rPr>
          <w:rFonts w:ascii="Times New Roman" w:hAnsi="Times New Roman" w:cs="Times New Roman"/>
        </w:rPr>
        <w:t>mn</w:t>
      </w:r>
      <w:r w:rsidRPr="00823800">
        <w:rPr>
          <w:rFonts w:ascii="Times New Roman" w:hAnsi="Times New Roman" w:cs="Times New Roman"/>
        </w:rPr>
        <w:t>段、</w:t>
      </w:r>
      <w:r w:rsidRPr="00823800">
        <w:rPr>
          <w:rFonts w:ascii="Times New Roman" w:hAnsi="Times New Roman" w:cs="Times New Roman"/>
        </w:rPr>
        <w:t>ab</w:t>
      </w:r>
      <w:r w:rsidRPr="00823800">
        <w:rPr>
          <w:rFonts w:ascii="Times New Roman" w:hAnsi="Times New Roman" w:cs="Times New Roman"/>
        </w:rPr>
        <w:t>段表明细胞呼吸产生的能量不足</w:t>
      </w:r>
      <w:r>
        <w:rPr>
          <w:rFonts w:ascii="Times New Roman" w:hAnsi="Times New Roman" w:cs="Times New Roman"/>
        </w:rPr>
        <w:t>，</w:t>
      </w:r>
      <w:r w:rsidRPr="00823800">
        <w:rPr>
          <w:rFonts w:ascii="Times New Roman" w:hAnsi="Times New Roman" w:cs="Times New Roman"/>
        </w:rPr>
        <w:t>抑制了细胞对离子的吸收</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将豌豆根部组织浸在溶液中达到离子平衡后</w:t>
      </w:r>
      <w:r>
        <w:rPr>
          <w:rFonts w:ascii="Times New Roman" w:hAnsi="Times New Roman" w:cs="Times New Roman"/>
        </w:rPr>
        <w:t>，</w:t>
      </w:r>
      <w:r w:rsidRPr="00823800">
        <w:rPr>
          <w:rFonts w:ascii="Times New Roman" w:hAnsi="Times New Roman" w:cs="Times New Roman"/>
        </w:rPr>
        <w:t>测得有关数据如下表：</w:t>
      </w:r>
    </w:p>
    <w:tbl>
      <w:tblPr>
        <w:tblW w:w="0" w:type="auto"/>
        <w:jc w:val="center"/>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842"/>
        <w:gridCol w:w="1996"/>
      </w:tblGrid>
      <w:tr w:rsidR="004C2FC9" w:rsidRPr="00823800" w:rsidTr="00D92020">
        <w:trPr>
          <w:jc w:val="center"/>
        </w:trPr>
        <w:tc>
          <w:tcPr>
            <w:tcW w:w="1985"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离子</w:t>
            </w:r>
          </w:p>
        </w:tc>
        <w:tc>
          <w:tcPr>
            <w:tcW w:w="1842"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外部溶液的离子浓度</w:t>
            </w:r>
            <w:r>
              <w:rPr>
                <w:rFonts w:ascii="Times New Roman" w:hAnsi="Times New Roman" w:cs="Times New Roman"/>
              </w:rPr>
              <w:t>(</w:t>
            </w:r>
            <w:r w:rsidRPr="00823800">
              <w:rPr>
                <w:rFonts w:ascii="Times New Roman" w:hAnsi="Times New Roman" w:cs="Times New Roman"/>
              </w:rPr>
              <w:t>mmol/L</w:t>
            </w:r>
            <w:r>
              <w:rPr>
                <w:rFonts w:ascii="Times New Roman" w:hAnsi="Times New Roman" w:cs="Times New Roman"/>
              </w:rPr>
              <w:t>)</w:t>
            </w:r>
          </w:p>
        </w:tc>
        <w:tc>
          <w:tcPr>
            <w:tcW w:w="1996"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根细胞内部离子浓度</w:t>
            </w:r>
            <w:r>
              <w:rPr>
                <w:rFonts w:ascii="Times New Roman" w:hAnsi="Times New Roman" w:cs="Times New Roman"/>
              </w:rPr>
              <w:t>(</w:t>
            </w:r>
            <w:r w:rsidRPr="00823800">
              <w:rPr>
                <w:rFonts w:ascii="Times New Roman" w:hAnsi="Times New Roman" w:cs="Times New Roman"/>
              </w:rPr>
              <w:t>mmol/L</w:t>
            </w:r>
            <w:r>
              <w:rPr>
                <w:rFonts w:ascii="Times New Roman" w:hAnsi="Times New Roman" w:cs="Times New Roman"/>
              </w:rPr>
              <w:t>)</w:t>
            </w:r>
          </w:p>
        </w:tc>
      </w:tr>
      <w:tr w:rsidR="004C2FC9" w:rsidRPr="00823800" w:rsidTr="00D92020">
        <w:trPr>
          <w:jc w:val="center"/>
        </w:trPr>
        <w:tc>
          <w:tcPr>
            <w:tcW w:w="1985"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Mg</w:t>
            </w:r>
            <w:r w:rsidRPr="00823800">
              <w:rPr>
                <w:rFonts w:ascii="Times New Roman" w:hAnsi="Times New Roman" w:cs="Times New Roman"/>
                <w:vertAlign w:val="superscript"/>
              </w:rPr>
              <w:t>2</w:t>
            </w:r>
            <w:r w:rsidRPr="00823800">
              <w:rPr>
                <w:rFonts w:ascii="Times New Roman" w:hAnsi="Times New Roman" w:cs="Times New Roman"/>
                <w:vertAlign w:val="superscript"/>
              </w:rPr>
              <w:t>＋</w:t>
            </w:r>
          </w:p>
        </w:tc>
        <w:tc>
          <w:tcPr>
            <w:tcW w:w="1842"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0.25</w:t>
            </w:r>
          </w:p>
        </w:tc>
        <w:tc>
          <w:tcPr>
            <w:tcW w:w="1996"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3</w:t>
            </w:r>
          </w:p>
        </w:tc>
      </w:tr>
      <w:tr w:rsidR="004C2FC9" w:rsidRPr="00823800" w:rsidTr="00D92020">
        <w:trPr>
          <w:jc w:val="center"/>
        </w:trPr>
        <w:tc>
          <w:tcPr>
            <w:tcW w:w="1985"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NO</w:t>
            </w:r>
            <w:r w:rsidR="00BE32CB" w:rsidRPr="00823800">
              <w:rPr>
                <w:rFonts w:ascii="Times New Roman" w:hAnsi="Times New Roman" w:cs="Times New Roman"/>
              </w:rPr>
              <w:fldChar w:fldCharType="begin"/>
            </w:r>
            <w:r w:rsidRPr="00823800">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sidRPr="00823800">
              <w:rPr>
                <w:rFonts w:ascii="Times New Roman" w:hAnsi="Times New Roman" w:cs="Times New Roman"/>
              </w:rPr>
              <w:instrText>),\s\do1(</w:instrText>
            </w:r>
            <w:r w:rsidRPr="00823800">
              <w:rPr>
                <w:rFonts w:ascii="Times New Roman" w:hAnsi="Times New Roman" w:cs="Times New Roman"/>
                <w:vertAlign w:val="subscript"/>
              </w:rPr>
              <w:instrText>3</w:instrText>
            </w:r>
            <w:r w:rsidRPr="00823800">
              <w:rPr>
                <w:rFonts w:ascii="Times New Roman" w:hAnsi="Times New Roman" w:cs="Times New Roman"/>
              </w:rPr>
              <w:instrText xml:space="preserve">)) </w:instrText>
            </w:r>
            <w:r w:rsidR="00BE32CB" w:rsidRPr="00823800">
              <w:rPr>
                <w:rFonts w:ascii="Times New Roman" w:hAnsi="Times New Roman" w:cs="Times New Roman"/>
              </w:rPr>
              <w:fldChar w:fldCharType="end"/>
            </w:r>
          </w:p>
        </w:tc>
        <w:tc>
          <w:tcPr>
            <w:tcW w:w="1842"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2</w:t>
            </w:r>
          </w:p>
        </w:tc>
        <w:tc>
          <w:tcPr>
            <w:tcW w:w="1996"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28</w:t>
            </w:r>
          </w:p>
        </w:tc>
      </w:tr>
      <w:tr w:rsidR="004C2FC9" w:rsidTr="00D92020">
        <w:trPr>
          <w:jc w:val="center"/>
        </w:trPr>
        <w:tc>
          <w:tcPr>
            <w:tcW w:w="1985"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PO</w:t>
            </w:r>
            <w:r w:rsidR="00BE32CB" w:rsidRPr="00823800">
              <w:rPr>
                <w:rFonts w:ascii="Times New Roman" w:hAnsi="Times New Roman" w:cs="Times New Roman"/>
              </w:rPr>
              <w:fldChar w:fldCharType="begin"/>
            </w:r>
            <w:r w:rsidRPr="00823800">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sidRPr="00823800">
              <w:rPr>
                <w:rFonts w:ascii="Times New Roman" w:hAnsi="Times New Roman" w:cs="Times New Roman"/>
              </w:rPr>
              <w:instrText>),\s\do1(</w:instrText>
            </w:r>
            <w:r w:rsidRPr="00823800">
              <w:rPr>
                <w:rFonts w:ascii="Times New Roman" w:hAnsi="Times New Roman" w:cs="Times New Roman"/>
                <w:vertAlign w:val="subscript"/>
              </w:rPr>
              <w:instrText>4</w:instrText>
            </w:r>
            <w:r w:rsidRPr="00823800">
              <w:rPr>
                <w:rFonts w:ascii="Times New Roman" w:hAnsi="Times New Roman" w:cs="Times New Roman"/>
              </w:rPr>
              <w:instrText xml:space="preserve">)) </w:instrText>
            </w:r>
            <w:r w:rsidR="00BE32CB" w:rsidRPr="00823800">
              <w:rPr>
                <w:rFonts w:ascii="Times New Roman" w:hAnsi="Times New Roman" w:cs="Times New Roman"/>
              </w:rPr>
              <w:fldChar w:fldCharType="end"/>
            </w:r>
          </w:p>
        </w:tc>
        <w:tc>
          <w:tcPr>
            <w:tcW w:w="1842" w:type="dxa"/>
            <w:shd w:val="clear" w:color="auto" w:fill="auto"/>
            <w:vAlign w:val="center"/>
          </w:tcPr>
          <w:p w:rsidR="004C2FC9" w:rsidRPr="00823800" w:rsidRDefault="004C2FC9" w:rsidP="00D92020">
            <w:pPr>
              <w:pStyle w:val="a3"/>
              <w:jc w:val="center"/>
              <w:rPr>
                <w:rFonts w:ascii="Times New Roman" w:hAnsi="Times New Roman" w:cs="Times New Roman"/>
              </w:rPr>
            </w:pPr>
            <w:r w:rsidRPr="00823800">
              <w:rPr>
                <w:rFonts w:ascii="Times New Roman" w:hAnsi="Times New Roman" w:cs="Times New Roman"/>
              </w:rPr>
              <w:t>1</w:t>
            </w:r>
          </w:p>
        </w:tc>
        <w:tc>
          <w:tcPr>
            <w:tcW w:w="1996" w:type="dxa"/>
            <w:shd w:val="clear" w:color="auto" w:fill="auto"/>
            <w:vAlign w:val="center"/>
          </w:tcPr>
          <w:p w:rsidR="004C2FC9" w:rsidRDefault="004C2FC9" w:rsidP="00D92020">
            <w:pPr>
              <w:pStyle w:val="a3"/>
              <w:jc w:val="center"/>
              <w:rPr>
                <w:rFonts w:ascii="Times New Roman" w:hAnsi="Times New Roman" w:cs="Times New Roman"/>
              </w:rPr>
            </w:pPr>
            <w:r w:rsidRPr="00823800">
              <w:rPr>
                <w:rFonts w:ascii="Times New Roman" w:hAnsi="Times New Roman" w:cs="Times New Roman"/>
              </w:rPr>
              <w:t>21</w:t>
            </w:r>
          </w:p>
        </w:tc>
      </w:tr>
    </w:tbl>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下列</w:t>
      </w:r>
      <w:r w:rsidRPr="00823800">
        <w:rPr>
          <w:rFonts w:ascii="Times New Roman" w:hAnsi="Times New Roman" w:cs="Times New Roman" w:hint="eastAsia"/>
        </w:rPr>
        <w:t>叙述正确的是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溶液通氧状况与根细胞吸收</w:t>
      </w:r>
      <w:r w:rsidRPr="00823800">
        <w:rPr>
          <w:rFonts w:ascii="Times New Roman" w:hAnsi="Times New Roman" w:cs="Times New Roman"/>
        </w:rPr>
        <w:t>Mg</w:t>
      </w:r>
      <w:r w:rsidRPr="00823800">
        <w:rPr>
          <w:rFonts w:ascii="Times New Roman" w:hAnsi="Times New Roman" w:cs="Times New Roman"/>
          <w:vertAlign w:val="superscript"/>
        </w:rPr>
        <w:t>2</w:t>
      </w:r>
      <w:r w:rsidRPr="00823800">
        <w:rPr>
          <w:rFonts w:ascii="Times New Roman" w:hAnsi="Times New Roman" w:cs="Times New Roman"/>
          <w:vertAlign w:val="superscript"/>
        </w:rPr>
        <w:t>＋</w:t>
      </w:r>
      <w:r w:rsidRPr="00823800">
        <w:rPr>
          <w:rFonts w:ascii="Times New Roman" w:hAnsi="Times New Roman" w:cs="Times New Roman"/>
        </w:rPr>
        <w:t>的量无关</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若不断提高温度</w:t>
      </w:r>
      <w:r>
        <w:rPr>
          <w:rFonts w:ascii="Times New Roman" w:hAnsi="Times New Roman" w:cs="Times New Roman"/>
        </w:rPr>
        <w:t>，</w:t>
      </w:r>
      <w:r w:rsidRPr="00823800">
        <w:rPr>
          <w:rFonts w:ascii="Times New Roman" w:hAnsi="Times New Roman" w:cs="Times New Roman"/>
        </w:rPr>
        <w:t>根细胞吸收</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PO</w:t>
      </w:r>
      <w:r w:rsidR="00BE32CB">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4</w:instrText>
      </w:r>
      <w:r>
        <w:rPr>
          <w:rFonts w:ascii="Times New Roman" w:hAnsi="Times New Roman" w:cs="Times New Roman"/>
        </w:rPr>
        <w:instrText xml:space="preserve">)) </w:instrText>
      </w:r>
      <w:r w:rsidR="00BE32CB">
        <w:rPr>
          <w:rFonts w:ascii="Times New Roman" w:hAnsi="Times New Roman" w:cs="Times New Roman"/>
        </w:rPr>
        <w:fldChar w:fldCharType="end"/>
      </w:r>
      <w:r w:rsidRPr="00823800">
        <w:rPr>
          <w:rFonts w:ascii="Times New Roman" w:hAnsi="Times New Roman" w:cs="Times New Roman"/>
        </w:rPr>
        <w:t>的量会不断增加</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若溶液缺氧</w:t>
      </w:r>
      <w:r>
        <w:rPr>
          <w:rFonts w:ascii="Times New Roman" w:hAnsi="Times New Roman" w:cs="Times New Roman"/>
        </w:rPr>
        <w:t>，</w:t>
      </w:r>
      <w:r w:rsidRPr="00823800">
        <w:rPr>
          <w:rFonts w:ascii="Times New Roman" w:hAnsi="Times New Roman" w:cs="Times New Roman"/>
        </w:rPr>
        <w:t>根细胞厌氧呼吸产生乳酸会抑制</w:t>
      </w:r>
      <w:r w:rsidRPr="00823800">
        <w:rPr>
          <w:rFonts w:ascii="Times New Roman" w:hAnsi="Times New Roman" w:cs="Times New Roman"/>
        </w:rPr>
        <w:t>NO</w:t>
      </w:r>
      <w:r w:rsidR="00BE32CB">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BE32CB">
        <w:rPr>
          <w:rFonts w:ascii="Times New Roman" w:hAnsi="Times New Roman" w:cs="Times New Roman"/>
        </w:rPr>
        <w:fldChar w:fldCharType="end"/>
      </w:r>
      <w:r w:rsidRPr="00823800">
        <w:rPr>
          <w:rFonts w:ascii="Times New Roman" w:hAnsi="Times New Roman" w:cs="Times New Roman"/>
        </w:rPr>
        <w:t>的吸收</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细胞呼吸电子传递链阶段产生的大量</w:t>
      </w:r>
      <w:r w:rsidRPr="00823800">
        <w:rPr>
          <w:rFonts w:ascii="Times New Roman" w:hAnsi="Times New Roman" w:cs="Times New Roman"/>
        </w:rPr>
        <w:t>ATP</w:t>
      </w:r>
      <w:r w:rsidRPr="00823800">
        <w:rPr>
          <w:rFonts w:ascii="Times New Roman" w:hAnsi="Times New Roman" w:cs="Times New Roman"/>
        </w:rPr>
        <w:t>可为吸收离子供能</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重庆江北中学高一上期末</w:t>
      </w:r>
      <w:r>
        <w:rPr>
          <w:rFonts w:ascii="Times New Roman" w:eastAsia="楷体_GB2312" w:hAnsi="Times New Roman" w:cs="Times New Roman"/>
        </w:rPr>
        <w:t>]</w:t>
      </w:r>
      <w:r w:rsidRPr="00823800">
        <w:rPr>
          <w:rFonts w:ascii="Times New Roman" w:hAnsi="Times New Roman" w:cs="Times New Roman"/>
        </w:rPr>
        <w:t>图甲中曲线</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表示物质跨膜运输的两种方式</w:t>
      </w:r>
      <w:r>
        <w:rPr>
          <w:rFonts w:ascii="Times New Roman" w:hAnsi="Times New Roman" w:cs="Times New Roman"/>
        </w:rPr>
        <w:t>，</w:t>
      </w:r>
      <w:r w:rsidRPr="00823800">
        <w:rPr>
          <w:rFonts w:ascii="Times New Roman" w:hAnsi="Times New Roman" w:cs="Times New Roman"/>
        </w:rPr>
        <w:t>图乙表示细胞对大分子物质胞吞和胞吐的过程。下列相关叙述中</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4C2FC9" w:rsidRDefault="004C2FC9" w:rsidP="004C2FC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12950" cy="958850"/>
            <wp:effectExtent l="0" t="0" r="6350" b="0"/>
            <wp:docPr id="1" name="图片 1" descr="22新微生物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新微生物1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2950" cy="958850"/>
                    </a:xfrm>
                    <a:prstGeom prst="rect">
                      <a:avLst/>
                    </a:prstGeom>
                    <a:noFill/>
                    <a:ln>
                      <a:noFill/>
                    </a:ln>
                  </pic:spPr>
                </pic:pic>
              </a:graphicData>
            </a:graphic>
          </wp:inline>
        </w:drawing>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图甲中</w:t>
      </w:r>
      <w:r w:rsidRPr="00823800">
        <w:rPr>
          <w:rFonts w:ascii="Times New Roman" w:hAnsi="Times New Roman" w:cs="Times New Roman"/>
        </w:rPr>
        <w:t>a</w:t>
      </w:r>
      <w:r w:rsidRPr="00823800">
        <w:rPr>
          <w:rFonts w:ascii="Times New Roman" w:hAnsi="Times New Roman" w:cs="Times New Roman"/>
        </w:rPr>
        <w:t>表示自由扩散</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表示协助扩散或主动运输</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图甲中</w:t>
      </w:r>
      <w:r w:rsidRPr="00823800">
        <w:rPr>
          <w:rFonts w:ascii="Times New Roman" w:hAnsi="Times New Roman" w:cs="Times New Roman"/>
        </w:rPr>
        <w:t>b</w:t>
      </w:r>
      <w:r w:rsidRPr="00823800">
        <w:rPr>
          <w:rFonts w:ascii="Times New Roman" w:hAnsi="Times New Roman" w:cs="Times New Roman"/>
        </w:rPr>
        <w:t>曲线达到最大转运速率后的限制因素是载体蛋白的数量</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图乙中的胞吞和胞吐过程说明细胞膜的结构具有选择透过性</w:t>
      </w:r>
    </w:p>
    <w:p w:rsidR="004C2FC9" w:rsidRDefault="004C2FC9" w:rsidP="004C2FC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图乙中的胞吞和胞吐过程都需要消耗</w:t>
      </w:r>
      <w:r w:rsidRPr="00823800">
        <w:rPr>
          <w:rFonts w:ascii="Times New Roman" w:hAnsi="Times New Roman" w:cs="Times New Roman"/>
        </w:rPr>
        <w:t>ATP</w:t>
      </w:r>
    </w:p>
    <w:p w:rsidR="00EE1581" w:rsidRPr="004C2FC9" w:rsidRDefault="00EE1581">
      <w:bookmarkStart w:id="0" w:name="_GoBack"/>
      <w:bookmarkEnd w:id="0"/>
    </w:p>
    <w:sectPr w:rsidR="00EE1581" w:rsidRPr="004C2FC9" w:rsidSect="00BE32CB">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F4A" w:rsidRDefault="00EC2F4A" w:rsidP="00EC2F4A">
      <w:r>
        <w:separator/>
      </w:r>
    </w:p>
  </w:endnote>
  <w:endnote w:type="continuationSeparator" w:id="1">
    <w:p w:rsidR="00EC2F4A" w:rsidRDefault="00EC2F4A" w:rsidP="00EC2F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F4A" w:rsidRDefault="00EC2F4A" w:rsidP="00EC2F4A">
      <w:r>
        <w:separator/>
      </w:r>
    </w:p>
  </w:footnote>
  <w:footnote w:type="continuationSeparator" w:id="1">
    <w:p w:rsidR="00EC2F4A" w:rsidRDefault="00EC2F4A" w:rsidP="00EC2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F4A" w:rsidRPr="00EC2F4A" w:rsidRDefault="00EC2F4A" w:rsidP="00EC2F4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FC9"/>
    <w:rsid w:val="004C2FC9"/>
    <w:rsid w:val="00BE32CB"/>
    <w:rsid w:val="00EC2F4A"/>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FC9"/>
    <w:pPr>
      <w:widowControl w:val="0"/>
      <w:jc w:val="both"/>
    </w:pPr>
  </w:style>
  <w:style w:type="paragraph" w:styleId="2">
    <w:name w:val="heading 2"/>
    <w:basedOn w:val="a"/>
    <w:next w:val="a"/>
    <w:link w:val="2Char"/>
    <w:uiPriority w:val="9"/>
    <w:semiHidden/>
    <w:unhideWhenUsed/>
    <w:qFormat/>
    <w:rsid w:val="004C2F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2FC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2FC9"/>
    <w:rPr>
      <w:rFonts w:ascii="宋体" w:eastAsia="宋体" w:hAnsi="Courier New" w:cs="Courier New"/>
      <w:szCs w:val="21"/>
    </w:rPr>
  </w:style>
  <w:style w:type="character" w:customStyle="1" w:styleId="Char">
    <w:name w:val="纯文本 Char"/>
    <w:basedOn w:val="a0"/>
    <w:link w:val="a3"/>
    <w:uiPriority w:val="99"/>
    <w:rsid w:val="004C2FC9"/>
    <w:rPr>
      <w:rFonts w:ascii="宋体" w:eastAsia="宋体" w:hAnsi="Courier New" w:cs="Courier New"/>
      <w:szCs w:val="21"/>
    </w:rPr>
  </w:style>
  <w:style w:type="paragraph" w:styleId="a4">
    <w:name w:val="Balloon Text"/>
    <w:basedOn w:val="a"/>
    <w:link w:val="Char0"/>
    <w:uiPriority w:val="99"/>
    <w:semiHidden/>
    <w:unhideWhenUsed/>
    <w:rsid w:val="004C2FC9"/>
    <w:rPr>
      <w:sz w:val="18"/>
      <w:szCs w:val="18"/>
    </w:rPr>
  </w:style>
  <w:style w:type="character" w:customStyle="1" w:styleId="Char0">
    <w:name w:val="批注框文本 Char"/>
    <w:basedOn w:val="a0"/>
    <w:link w:val="a4"/>
    <w:uiPriority w:val="99"/>
    <w:semiHidden/>
    <w:rsid w:val="004C2FC9"/>
    <w:rPr>
      <w:sz w:val="18"/>
      <w:szCs w:val="18"/>
    </w:rPr>
  </w:style>
  <w:style w:type="paragraph" w:styleId="a5">
    <w:name w:val="header"/>
    <w:basedOn w:val="a"/>
    <w:link w:val="Char1"/>
    <w:uiPriority w:val="99"/>
    <w:semiHidden/>
    <w:unhideWhenUsed/>
    <w:rsid w:val="00EC2F4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C2F4A"/>
    <w:rPr>
      <w:sz w:val="18"/>
      <w:szCs w:val="18"/>
    </w:rPr>
  </w:style>
  <w:style w:type="paragraph" w:styleId="a6">
    <w:name w:val="footer"/>
    <w:basedOn w:val="a"/>
    <w:link w:val="Char2"/>
    <w:uiPriority w:val="99"/>
    <w:semiHidden/>
    <w:unhideWhenUsed/>
    <w:rsid w:val="00EC2F4A"/>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C2F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FC9"/>
    <w:pPr>
      <w:widowControl w:val="0"/>
      <w:jc w:val="both"/>
    </w:pPr>
  </w:style>
  <w:style w:type="paragraph" w:styleId="2">
    <w:name w:val="heading 2"/>
    <w:basedOn w:val="a"/>
    <w:next w:val="a"/>
    <w:link w:val="2Char"/>
    <w:uiPriority w:val="9"/>
    <w:semiHidden/>
    <w:unhideWhenUsed/>
    <w:qFormat/>
    <w:rsid w:val="004C2F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2FC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2FC9"/>
    <w:rPr>
      <w:rFonts w:ascii="宋体" w:eastAsia="宋体" w:hAnsi="Courier New" w:cs="Courier New"/>
      <w:szCs w:val="21"/>
    </w:rPr>
  </w:style>
  <w:style w:type="character" w:customStyle="1" w:styleId="Char">
    <w:name w:val="纯文本 Char"/>
    <w:basedOn w:val="a0"/>
    <w:link w:val="a3"/>
    <w:uiPriority w:val="99"/>
    <w:rsid w:val="004C2FC9"/>
    <w:rPr>
      <w:rFonts w:ascii="宋体" w:eastAsia="宋体" w:hAnsi="Courier New" w:cs="Courier New"/>
      <w:szCs w:val="21"/>
    </w:rPr>
  </w:style>
  <w:style w:type="paragraph" w:styleId="a4">
    <w:name w:val="Balloon Text"/>
    <w:basedOn w:val="a"/>
    <w:link w:val="Char0"/>
    <w:uiPriority w:val="99"/>
    <w:semiHidden/>
    <w:unhideWhenUsed/>
    <w:rsid w:val="004C2FC9"/>
    <w:rPr>
      <w:sz w:val="18"/>
      <w:szCs w:val="18"/>
    </w:rPr>
  </w:style>
  <w:style w:type="character" w:customStyle="1" w:styleId="Char0">
    <w:name w:val="批注框文本 Char"/>
    <w:basedOn w:val="a0"/>
    <w:link w:val="a4"/>
    <w:uiPriority w:val="99"/>
    <w:semiHidden/>
    <w:rsid w:val="004C2FC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235</Words>
  <Characters>1341</Characters>
  <Application>Microsoft Office Word</Application>
  <DocSecurity>0</DocSecurity>
  <Lines>11</Lines>
  <Paragraphs>3</Paragraphs>
  <ScaleCrop>false</ScaleCrop>
  <Company>微软中国</Company>
  <LinksUpToDate>false</LinksUpToDate>
  <CharactersWithSpaces>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2021-07-01T03:16:00Z</dcterms:created>
  <dcterms:modified xsi:type="dcterms:W3CDTF">2021-09-03T11:00:00Z</dcterms:modified>
</cp:coreProperties>
</file>